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72" w:rsidRDefault="00972DBA" w:rsidP="001C3072">
      <w:pPr>
        <w:spacing w:line="240" w:lineRule="auto"/>
        <w:jc w:val="right"/>
        <w:rPr>
          <w:rFonts w:ascii="Arial" w:eastAsia="Calibri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24"/>
          <w:szCs w:val="24"/>
        </w:rPr>
        <w:t>Příloha č. 5</w:t>
      </w:r>
      <w:r w:rsidR="001C3072" w:rsidRPr="008A296D">
        <w:rPr>
          <w:rFonts w:ascii="Arial" w:hAnsi="Arial" w:cs="Arial"/>
          <w:sz w:val="24"/>
          <w:szCs w:val="24"/>
        </w:rPr>
        <w:t xml:space="preserve"> k čj.: VS-</w:t>
      </w:r>
      <w:r w:rsidR="001C3072">
        <w:rPr>
          <w:rFonts w:ascii="Arial" w:hAnsi="Arial" w:cs="Arial"/>
          <w:sz w:val="24"/>
          <w:szCs w:val="24"/>
        </w:rPr>
        <w:t>143381</w:t>
      </w:r>
      <w:r w:rsidR="001C3072" w:rsidRPr="008A296D">
        <w:rPr>
          <w:rFonts w:ascii="Arial" w:hAnsi="Arial" w:cs="Arial"/>
          <w:sz w:val="24"/>
          <w:szCs w:val="24"/>
        </w:rPr>
        <w:t>-</w:t>
      </w:r>
      <w:r w:rsidR="004F4F87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1C3072" w:rsidRPr="008A296D">
        <w:rPr>
          <w:rFonts w:ascii="Arial" w:hAnsi="Arial" w:cs="Arial"/>
          <w:sz w:val="24"/>
          <w:szCs w:val="24"/>
        </w:rPr>
        <w:t>/ČJ-2016-800052-VERZAK</w:t>
      </w:r>
    </w:p>
    <w:p w:rsidR="001C3072" w:rsidRDefault="001C3072" w:rsidP="00BB6C10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</w:p>
    <w:p w:rsidR="001C446A" w:rsidRDefault="001C446A" w:rsidP="001C446A">
      <w:pPr>
        <w:spacing w:line="240" w:lineRule="auto"/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  <w:r w:rsidRPr="001C446A">
        <w:rPr>
          <w:rFonts w:ascii="Arial" w:eastAsia="Calibri" w:hAnsi="Arial" w:cs="Arial"/>
          <w:b/>
          <w:sz w:val="32"/>
          <w:szCs w:val="32"/>
          <w:u w:val="single"/>
        </w:rPr>
        <w:t xml:space="preserve">Protokol z uživatelské zkoušky samopalu pro </w:t>
      </w:r>
      <w:proofErr w:type="gramStart"/>
      <w:r w:rsidRPr="001C446A">
        <w:rPr>
          <w:rFonts w:ascii="Arial" w:eastAsia="Calibri" w:hAnsi="Arial" w:cs="Arial"/>
          <w:b/>
          <w:sz w:val="32"/>
          <w:szCs w:val="32"/>
          <w:u w:val="single"/>
        </w:rPr>
        <w:t>Vězeňskou</w:t>
      </w:r>
      <w:proofErr w:type="gramEnd"/>
      <w:r w:rsidRPr="001C446A">
        <w:rPr>
          <w:rFonts w:ascii="Arial" w:eastAsia="Calibri" w:hAnsi="Arial" w:cs="Arial"/>
          <w:b/>
          <w:sz w:val="32"/>
          <w:szCs w:val="32"/>
          <w:u w:val="single"/>
        </w:rPr>
        <w:t xml:space="preserve"> služby ČR v ráži 9x19</w:t>
      </w:r>
    </w:p>
    <w:p w:rsidR="007C63BC" w:rsidRPr="001C446A" w:rsidRDefault="007C63BC" w:rsidP="001C446A">
      <w:pPr>
        <w:spacing w:line="240" w:lineRule="auto"/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Údaje o posuzovaném materiálu</w:t>
      </w:r>
    </w:p>
    <w:p w:rsidR="00F745BF" w:rsidRPr="001C446A" w:rsidRDefault="00F745BF" w:rsidP="00F745BF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Nabídka číslo:</w:t>
      </w:r>
    </w:p>
    <w:p w:rsidR="001C446A" w:rsidRPr="001C446A" w:rsidRDefault="007C63BC" w:rsidP="007C63BC">
      <w:pPr>
        <w:tabs>
          <w:tab w:val="left" w:pos="6040"/>
        </w:tabs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Údaje o hodnotiteli</w:t>
      </w:r>
    </w:p>
    <w:p w:rsidR="00F745BF" w:rsidRPr="001C446A" w:rsidRDefault="00F745BF" w:rsidP="00F745BF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Hodnost, jméno a příjmení: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B14D7D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Služební</w:t>
      </w:r>
      <w:r w:rsidR="001C446A" w:rsidRPr="001C446A">
        <w:rPr>
          <w:rFonts w:ascii="Arial" w:eastAsia="Calibri" w:hAnsi="Arial" w:cs="Arial"/>
          <w:sz w:val="24"/>
          <w:szCs w:val="24"/>
        </w:rPr>
        <w:t xml:space="preserve"> číslo: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Organizační jednotka VS ČR: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Termín uživatelské zkoušky</w:t>
      </w:r>
    </w:p>
    <w:p w:rsidR="00F745BF" w:rsidRPr="001C446A" w:rsidRDefault="00F745BF" w:rsidP="00F745BF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Uživatelská zkouška proběhla dne: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Způsob hodnocení</w:t>
      </w:r>
    </w:p>
    <w:p w:rsidR="00F745BF" w:rsidRPr="001C446A" w:rsidRDefault="00F745BF" w:rsidP="00F745BF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5A6B3E" w:rsidRDefault="00F134F3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Posuzované vzorky samopalů</w:t>
      </w:r>
      <w:r w:rsidR="001C446A" w:rsidRPr="001C446A">
        <w:rPr>
          <w:rFonts w:ascii="Arial" w:eastAsia="Calibri" w:hAnsi="Arial" w:cs="Arial"/>
          <w:sz w:val="24"/>
          <w:szCs w:val="24"/>
        </w:rPr>
        <w:t xml:space="preserve"> se hodnotí v rámci tří níže uvedených zkoušek. Při hodnocení se postupuje v souladu s technickou specifikací veřejné zakázky a „Progr</w:t>
      </w:r>
      <w:r>
        <w:rPr>
          <w:rFonts w:ascii="Arial" w:eastAsia="Calibri" w:hAnsi="Arial" w:cs="Arial"/>
          <w:sz w:val="24"/>
          <w:szCs w:val="24"/>
        </w:rPr>
        <w:t>amem uživatelské zkoušky samopalů pro Vězeňskou službu</w:t>
      </w:r>
      <w:r w:rsidR="001C446A" w:rsidRPr="001C446A">
        <w:rPr>
          <w:rFonts w:ascii="Arial" w:eastAsia="Calibri" w:hAnsi="Arial" w:cs="Arial"/>
          <w:sz w:val="24"/>
          <w:szCs w:val="24"/>
        </w:rPr>
        <w:t xml:space="preserve"> Č</w:t>
      </w:r>
      <w:r w:rsidR="005A6B3E">
        <w:rPr>
          <w:rFonts w:ascii="Arial" w:eastAsia="Calibri" w:hAnsi="Arial" w:cs="Arial"/>
          <w:sz w:val="24"/>
          <w:szCs w:val="24"/>
        </w:rPr>
        <w:t>R v ráži 9x19“</w:t>
      </w:r>
      <w:r w:rsidR="001C446A" w:rsidRPr="001C446A">
        <w:rPr>
          <w:rFonts w:ascii="Arial" w:eastAsia="Calibri" w:hAnsi="Arial" w:cs="Arial"/>
          <w:sz w:val="24"/>
          <w:szCs w:val="24"/>
        </w:rPr>
        <w:t xml:space="preserve">. </w:t>
      </w:r>
      <w:r w:rsidR="001C446A" w:rsidRPr="005A6B3E">
        <w:rPr>
          <w:rFonts w:ascii="Arial" w:eastAsia="Calibri" w:hAnsi="Arial" w:cs="Arial"/>
          <w:sz w:val="24"/>
          <w:szCs w:val="24"/>
        </w:rPr>
        <w:t>Každému hodnocenému parametru mohou být přiděleny body v rozmezí 0 – 4, přičemž vyšší bodové hodnocení znamená vyšší kvalitu hodnoceného parametru.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Povětrnostní podmínky</w:t>
      </w:r>
    </w:p>
    <w:p w:rsidR="00F745BF" w:rsidRPr="001C446A" w:rsidRDefault="00F745BF" w:rsidP="00F745BF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1. den: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 xml:space="preserve">2. den: </w:t>
      </w: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Default="001C446A" w:rsidP="001C446A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Výsledky uživatelské zkoušky </w:t>
      </w: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745BF" w:rsidRPr="001C446A" w:rsidRDefault="00F745BF" w:rsidP="00F745BF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C446A" w:rsidRDefault="001C446A" w:rsidP="001C446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lastRenderedPageBreak/>
        <w:t>Zkouška č. 1 – vzhled a provedení</w:t>
      </w:r>
    </w:p>
    <w:p w:rsidR="00F745BF" w:rsidRPr="001C446A" w:rsidRDefault="00F745BF" w:rsidP="00F745BF">
      <w:pPr>
        <w:spacing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383"/>
        <w:gridCol w:w="3127"/>
        <w:gridCol w:w="993"/>
        <w:gridCol w:w="942"/>
        <w:gridCol w:w="1042"/>
        <w:gridCol w:w="2585"/>
      </w:tblGrid>
      <w:tr w:rsidR="001C446A" w:rsidRPr="001C446A" w:rsidTr="00F745BF">
        <w:trPr>
          <w:trHeight w:val="703"/>
        </w:trPr>
        <w:tc>
          <w:tcPr>
            <w:tcW w:w="38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2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Hodnocený parametr</w:t>
            </w:r>
          </w:p>
        </w:tc>
        <w:tc>
          <w:tcPr>
            <w:tcW w:w="993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  <w:tc>
          <w:tcPr>
            <w:tcW w:w="942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  <w:tc>
          <w:tcPr>
            <w:tcW w:w="1042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  <w:tc>
          <w:tcPr>
            <w:tcW w:w="2585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Poznámky</w:t>
            </w:r>
          </w:p>
        </w:tc>
      </w:tr>
      <w:tr w:rsidR="001C446A" w:rsidRPr="001C446A" w:rsidTr="00F745BF">
        <w:trPr>
          <w:trHeight w:val="793"/>
        </w:trPr>
        <w:tc>
          <w:tcPr>
            <w:tcW w:w="383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127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 xml:space="preserve">Identifikační údaje výrobce </w:t>
            </w:r>
            <w:r w:rsidR="00F134F3">
              <w:rPr>
                <w:rFonts w:ascii="Arial" w:eastAsia="Calibri" w:hAnsi="Arial" w:cs="Arial"/>
                <w:b/>
                <w:sz w:val="18"/>
                <w:szCs w:val="18"/>
              </w:rPr>
              <w:t>(označení výrobce a typu samopalu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, ráž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e, čísla zbraně a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příslušné zkušební značky)</w:t>
            </w:r>
          </w:p>
        </w:tc>
        <w:tc>
          <w:tcPr>
            <w:tcW w:w="99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5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F745BF">
        <w:trPr>
          <w:trHeight w:val="792"/>
        </w:trPr>
        <w:tc>
          <w:tcPr>
            <w:tcW w:w="383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127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12114">
              <w:rPr>
                <w:rFonts w:ascii="Arial" w:eastAsia="Calibri" w:hAnsi="Arial" w:cs="Arial"/>
                <w:b/>
                <w:sz w:val="18"/>
                <w:szCs w:val="18"/>
              </w:rPr>
              <w:t>Úroveň ochrany zbraně v přepravním obalu</w:t>
            </w:r>
          </w:p>
        </w:tc>
        <w:tc>
          <w:tcPr>
            <w:tcW w:w="99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5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F745BF">
        <w:trPr>
          <w:trHeight w:val="642"/>
        </w:trPr>
        <w:tc>
          <w:tcPr>
            <w:tcW w:w="383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27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Celková úroveň dílens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kého zpracování – posuzuje se u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složené i rozložené zbraně (viditelné stopy po obrábění, otřepy, nedokonalé provedení povrchové úpravy, slícování, atd.)</w:t>
            </w:r>
          </w:p>
        </w:tc>
        <w:tc>
          <w:tcPr>
            <w:tcW w:w="99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5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F745BF">
        <w:trPr>
          <w:trHeight w:val="532"/>
        </w:trPr>
        <w:tc>
          <w:tcPr>
            <w:tcW w:w="38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296DC3" w:rsidP="001C446A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Součet hodnocení</w:t>
            </w:r>
          </w:p>
        </w:tc>
        <w:tc>
          <w:tcPr>
            <w:tcW w:w="993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42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85" w:type="dxa"/>
          </w:tcPr>
          <w:p w:rsidR="001C446A" w:rsidRPr="001C446A" w:rsidRDefault="001C446A" w:rsidP="001C446A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1C446A" w:rsidRPr="001C446A" w:rsidRDefault="001C446A" w:rsidP="00F745B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Zkouška č. 2 – posouzení uživatelských vlastností</w:t>
      </w:r>
    </w:p>
    <w:p w:rsidR="001C446A" w:rsidRPr="001C446A" w:rsidRDefault="001C446A" w:rsidP="001C446A">
      <w:pPr>
        <w:spacing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Mkatabulky"/>
        <w:tblW w:w="9072" w:type="dxa"/>
        <w:tblLayout w:type="fixed"/>
        <w:tblLook w:val="04A0" w:firstRow="1" w:lastRow="0" w:firstColumn="1" w:lastColumn="0" w:noHBand="0" w:noVBand="1"/>
      </w:tblPr>
      <w:tblGrid>
        <w:gridCol w:w="395"/>
        <w:gridCol w:w="3156"/>
        <w:gridCol w:w="952"/>
        <w:gridCol w:w="992"/>
        <w:gridCol w:w="992"/>
        <w:gridCol w:w="2585"/>
      </w:tblGrid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56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Značka, model, vč. zbraně</w:t>
            </w:r>
          </w:p>
        </w:tc>
        <w:tc>
          <w:tcPr>
            <w:tcW w:w="952" w:type="dxa"/>
          </w:tcPr>
          <w:p w:rsidR="00296DC3" w:rsidRPr="00F134F3" w:rsidRDefault="00296DC3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992" w:type="dxa"/>
          </w:tcPr>
          <w:p w:rsidR="00296DC3" w:rsidRPr="00F134F3" w:rsidRDefault="00296DC3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992" w:type="dxa"/>
          </w:tcPr>
          <w:p w:rsidR="00296DC3" w:rsidRPr="00F134F3" w:rsidRDefault="00296DC3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Poznámky</w:t>
            </w:r>
          </w:p>
          <w:p w:rsidR="00296DC3" w:rsidRPr="001C446A" w:rsidRDefault="00296DC3" w:rsidP="001C446A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 xml:space="preserve">Kvalita úchopu (silná a slabá 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ruka, suchou i mokrou rukou a v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rukavicích)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Síla odporu závěru při nat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ažení (suchou i mokrou rukou, v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rukavicích)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3D1886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 xml:space="preserve">Čitelnost mířidel 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3D1886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O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vladatelnost ovládacích prvků a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závěru (silná a slabá ruka, suchou i mokrou rukou a v rukavicích)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B144C8" w:rsidP="001C446A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Dostupnost ovládacích prvků a </w:t>
            </w:r>
            <w:r w:rsidR="00296DC3" w:rsidRPr="001C446A">
              <w:rPr>
                <w:rFonts w:ascii="Arial" w:eastAsia="Calibri" w:hAnsi="Arial" w:cs="Arial"/>
                <w:b/>
                <w:sz w:val="18"/>
                <w:szCs w:val="18"/>
              </w:rPr>
              <w:t>závěru (ovladatelnost + vhodnost zbraně pro leváka/praváka)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3156" w:type="dxa"/>
          </w:tcPr>
          <w:p w:rsidR="00296DC3" w:rsidRDefault="00296DC3" w:rsidP="00F134F3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F134F3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Chod a odpor spouště 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 xml:space="preserve">Obtížnost </w:t>
            </w:r>
            <w:proofErr w:type="spellStart"/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sborky</w:t>
            </w:r>
            <w:proofErr w:type="spellEnd"/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 xml:space="preserve"> a rozborky (nutnost použití nářadí, nebo jiného předmětu)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Obtížnost plnění zásobníku střelivem (náboji)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  <w:tr w:rsidR="00296DC3" w:rsidRPr="001C446A" w:rsidTr="00F745BF">
        <w:trPr>
          <w:trHeight w:val="574"/>
        </w:trPr>
        <w:tc>
          <w:tcPr>
            <w:tcW w:w="39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56" w:type="dxa"/>
          </w:tcPr>
          <w:p w:rsidR="00296DC3" w:rsidRPr="001C446A" w:rsidRDefault="00296DC3" w:rsidP="001C446A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96DC3" w:rsidRPr="001C446A" w:rsidRDefault="003D1886" w:rsidP="001C446A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Součet hodnocení</w:t>
            </w:r>
          </w:p>
        </w:tc>
        <w:tc>
          <w:tcPr>
            <w:tcW w:w="95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96DC3" w:rsidRPr="001C446A" w:rsidRDefault="00296DC3" w:rsidP="001C446A">
            <w:pPr>
              <w:rPr>
                <w:rFonts w:ascii="Calibri" w:eastAsia="Calibri" w:hAnsi="Calibri" w:cs="Times New Roman"/>
              </w:rPr>
            </w:pPr>
          </w:p>
        </w:tc>
      </w:tr>
    </w:tbl>
    <w:p w:rsidR="001C446A" w:rsidRPr="001C446A" w:rsidRDefault="001C446A" w:rsidP="001C446A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lastRenderedPageBreak/>
        <w:t>Zkouška č. 3 – ostrá střelba</w:t>
      </w:r>
    </w:p>
    <w:tbl>
      <w:tblPr>
        <w:tblStyle w:val="Mkatabulky"/>
        <w:tblpPr w:leftFromText="141" w:rightFromText="141" w:vertAnchor="text" w:horzAnchor="margin" w:tblpY="175"/>
        <w:tblW w:w="9072" w:type="dxa"/>
        <w:tblLayout w:type="fixed"/>
        <w:tblLook w:val="04A0" w:firstRow="1" w:lastRow="0" w:firstColumn="1" w:lastColumn="0" w:noHBand="0" w:noVBand="1"/>
      </w:tblPr>
      <w:tblGrid>
        <w:gridCol w:w="539"/>
        <w:gridCol w:w="3005"/>
        <w:gridCol w:w="959"/>
        <w:gridCol w:w="992"/>
        <w:gridCol w:w="992"/>
        <w:gridCol w:w="2585"/>
      </w:tblGrid>
      <w:tr w:rsidR="002C3187" w:rsidRPr="001C446A" w:rsidTr="00762142">
        <w:trPr>
          <w:trHeight w:val="794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05" w:type="dxa"/>
          </w:tcPr>
          <w:p w:rsidR="002C3187" w:rsidRPr="001C446A" w:rsidRDefault="002C3187" w:rsidP="002C3187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jc w:val="center"/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Značka, model, vč. zbraně</w:t>
            </w:r>
          </w:p>
        </w:tc>
        <w:tc>
          <w:tcPr>
            <w:tcW w:w="959" w:type="dxa"/>
          </w:tcPr>
          <w:p w:rsidR="002C3187" w:rsidRPr="00F134F3" w:rsidRDefault="002C3187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992" w:type="dxa"/>
          </w:tcPr>
          <w:p w:rsidR="002C3187" w:rsidRPr="00F134F3" w:rsidRDefault="002C3187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992" w:type="dxa"/>
          </w:tcPr>
          <w:p w:rsidR="002C3187" w:rsidRPr="00F134F3" w:rsidRDefault="002C3187" w:rsidP="002C3187">
            <w:pPr>
              <w:jc w:val="center"/>
              <w:rPr>
                <w:rFonts w:ascii="Calibri" w:eastAsia="Calibri" w:hAnsi="Calibri" w:cs="Times New Roman"/>
                <w:color w:val="FF0000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Poznámky</w:t>
            </w:r>
          </w:p>
          <w:p w:rsidR="002C3187" w:rsidRPr="001C446A" w:rsidRDefault="002C3187" w:rsidP="002C3187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Chování zbraně při střelbě (střelba suchou / mokrou zbraní, v rukavicích, posouzení zpětného rázu, klopného efektu, rychlosti navrácení zb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>raně do 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záměrné osy)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Pevnost sestavy zbraně (uvolňující se čepy, ovládací prvky, mířidla)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  <w:vertAlign w:val="superscript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Posouzení nastřelení zbraně z výroby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  <w:vertAlign w:val="superscript"/>
              </w:rPr>
              <w:t xml:space="preserve">1   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3D1886">
              <w:rPr>
                <w:rFonts w:ascii="Arial" w:eastAsia="Calibri" w:hAnsi="Arial" w:cs="Arial"/>
                <w:b/>
                <w:sz w:val="18"/>
                <w:szCs w:val="18"/>
              </w:rPr>
              <w:t>Střelba obouruč ze slabé strany střelce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Funkčnost zásobníků při střelbě (podávání nábojů do komory, zadrhávání zásobníků při bojovém nebo taktické přebíjení, vzpřičování nábojů)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Rasance a směr výhozu prázdných nábojnic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5130E">
              <w:rPr>
                <w:rFonts w:ascii="Arial" w:eastAsia="Calibri" w:hAnsi="Arial" w:cs="Arial"/>
                <w:b/>
                <w:sz w:val="18"/>
                <w:szCs w:val="18"/>
              </w:rPr>
              <w:t>Komfort přebití</w:t>
            </w:r>
            <w:r w:rsidR="00B144C8">
              <w:rPr>
                <w:rFonts w:ascii="Arial" w:eastAsia="Calibri" w:hAnsi="Arial" w:cs="Arial"/>
                <w:b/>
                <w:sz w:val="18"/>
                <w:szCs w:val="18"/>
              </w:rPr>
              <w:t xml:space="preserve"> (vložení zásobníku s náboji do </w:t>
            </w:r>
            <w:r w:rsidRPr="00C5130E">
              <w:rPr>
                <w:rFonts w:ascii="Arial" w:eastAsia="Calibri" w:hAnsi="Arial" w:cs="Arial"/>
                <w:b/>
                <w:sz w:val="18"/>
                <w:szCs w:val="18"/>
              </w:rPr>
              <w:t xml:space="preserve">zásobníkové šachty) 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8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Otisk úderníku na zápalce (stejnoměrnost a hloubka otisku)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9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Přesnost střelby – poloha středního bodu zásahu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1035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10</w:t>
            </w: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  <w:color w:val="FF0000"/>
              </w:rPr>
            </w:pPr>
            <w:r w:rsidRPr="003D1886">
              <w:rPr>
                <w:rFonts w:ascii="Arial" w:eastAsia="Calibri" w:hAnsi="Arial" w:cs="Arial"/>
                <w:b/>
                <w:sz w:val="18"/>
                <w:szCs w:val="18"/>
              </w:rPr>
              <w:t>Rozptyl</w:t>
            </w:r>
            <w:r w:rsidRPr="003D1886">
              <w:rPr>
                <w:rFonts w:ascii="Arial" w:eastAsia="Calibri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  <w:tr w:rsidR="002C3187" w:rsidRPr="001C446A" w:rsidTr="00762142">
        <w:trPr>
          <w:trHeight w:val="927"/>
        </w:trPr>
        <w:tc>
          <w:tcPr>
            <w:tcW w:w="539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3005" w:type="dxa"/>
          </w:tcPr>
          <w:p w:rsidR="002C3187" w:rsidRPr="001C446A" w:rsidRDefault="002C3187" w:rsidP="002C31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Součet hodnocení</w:t>
            </w:r>
          </w:p>
        </w:tc>
        <w:tc>
          <w:tcPr>
            <w:tcW w:w="959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</w:tcPr>
          <w:p w:rsidR="002C3187" w:rsidRPr="001C446A" w:rsidRDefault="002C3187" w:rsidP="002C3187">
            <w:pPr>
              <w:rPr>
                <w:rFonts w:ascii="Calibri" w:eastAsia="Calibri" w:hAnsi="Calibri" w:cs="Times New Roman"/>
              </w:rPr>
            </w:pPr>
          </w:p>
        </w:tc>
      </w:tr>
    </w:tbl>
    <w:p w:rsidR="001C446A" w:rsidRPr="001C446A" w:rsidRDefault="001C446A" w:rsidP="001C446A">
      <w:pPr>
        <w:spacing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Výsledek hodnocení zkoušek 1 až 3</w:t>
      </w:r>
    </w:p>
    <w:p w:rsidR="001C446A" w:rsidRPr="001C446A" w:rsidRDefault="001C446A" w:rsidP="001C446A">
      <w:pPr>
        <w:spacing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1440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417"/>
        <w:gridCol w:w="2297"/>
        <w:gridCol w:w="2297"/>
        <w:gridCol w:w="2297"/>
        <w:gridCol w:w="2298"/>
      </w:tblGrid>
      <w:tr w:rsidR="001C446A" w:rsidRPr="001C446A" w:rsidTr="00F134F3">
        <w:trPr>
          <w:trHeight w:val="1035"/>
        </w:trPr>
        <w:tc>
          <w:tcPr>
            <w:tcW w:w="41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Výsledek zkoušky</w:t>
            </w:r>
          </w:p>
        </w:tc>
        <w:tc>
          <w:tcPr>
            <w:tcW w:w="2297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  <w:tc>
          <w:tcPr>
            <w:tcW w:w="2297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  <w:tc>
          <w:tcPr>
            <w:tcW w:w="2298" w:type="dxa"/>
          </w:tcPr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1C446A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</w:p>
          <w:p w:rsidR="001C446A" w:rsidRPr="00F134F3" w:rsidRDefault="00F134F3" w:rsidP="001C446A">
            <w:pPr>
              <w:jc w:val="center"/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</w:pPr>
            <w:r w:rsidRPr="00F134F3">
              <w:rPr>
                <w:rFonts w:ascii="Arial" w:eastAsia="Calibri" w:hAnsi="Arial" w:cs="Arial"/>
                <w:b/>
                <w:color w:val="FF0000"/>
                <w:sz w:val="18"/>
                <w:szCs w:val="18"/>
              </w:rPr>
              <w:t>Doplnit výrobce a typ</w:t>
            </w:r>
          </w:p>
        </w:tc>
      </w:tr>
      <w:tr w:rsidR="001C446A" w:rsidRPr="001C446A" w:rsidTr="00F134F3">
        <w:trPr>
          <w:trHeight w:val="1035"/>
        </w:trPr>
        <w:tc>
          <w:tcPr>
            <w:tcW w:w="41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Vzhled a provedení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8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F134F3">
        <w:trPr>
          <w:trHeight w:val="1035"/>
        </w:trPr>
        <w:tc>
          <w:tcPr>
            <w:tcW w:w="41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Posouzení uživatelských vlastností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8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F134F3">
        <w:trPr>
          <w:trHeight w:val="1035"/>
        </w:trPr>
        <w:tc>
          <w:tcPr>
            <w:tcW w:w="41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C446A">
              <w:rPr>
                <w:rFonts w:ascii="Arial" w:eastAsia="Calibri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Ostrá střelba</w:t>
            </w: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8" w:type="dxa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C446A" w:rsidRPr="001C446A" w:rsidTr="00944EBE">
        <w:trPr>
          <w:trHeight w:val="1035"/>
        </w:trPr>
        <w:tc>
          <w:tcPr>
            <w:tcW w:w="417" w:type="dxa"/>
            <w:shd w:val="clear" w:color="auto" w:fill="DAEEF3" w:themeFill="accent5" w:themeFillTint="33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DAEEF3" w:themeFill="accent5" w:themeFillTint="33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5676C7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C446A">
              <w:rPr>
                <w:rFonts w:ascii="Arial" w:eastAsia="Calibri" w:hAnsi="Arial" w:cs="Arial"/>
                <w:b/>
                <w:sz w:val="18"/>
                <w:szCs w:val="18"/>
              </w:rPr>
              <w:t>Výsledek uživatelské zkoušky</w:t>
            </w:r>
            <w:r w:rsidR="005676C7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1C446A" w:rsidRPr="001C446A" w:rsidRDefault="005676C7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(celkový počet bodů)</w:t>
            </w: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DAEEF3" w:themeFill="accent5" w:themeFillTint="33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DAEEF3" w:themeFill="accent5" w:themeFillTint="33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DAEEF3" w:themeFill="accent5" w:themeFillTint="33"/>
          </w:tcPr>
          <w:p w:rsidR="001C446A" w:rsidRPr="001C446A" w:rsidRDefault="001C446A" w:rsidP="001C446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1C446A" w:rsidRPr="001C446A" w:rsidRDefault="001C446A" w:rsidP="001C446A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numPr>
          <w:ilvl w:val="0"/>
          <w:numId w:val="1"/>
        </w:numPr>
        <w:spacing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C446A">
        <w:rPr>
          <w:rFonts w:ascii="Arial" w:eastAsia="Calibri" w:hAnsi="Arial" w:cs="Arial"/>
          <w:b/>
          <w:i/>
          <w:sz w:val="24"/>
          <w:szCs w:val="24"/>
          <w:u w:val="single"/>
        </w:rPr>
        <w:t>Poznatky a připomínky hodnotitele</w:t>
      </w: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1C446A" w:rsidRPr="001C446A" w:rsidRDefault="001C446A" w:rsidP="001C446A">
      <w:pPr>
        <w:spacing w:line="240" w:lineRule="auto"/>
        <w:rPr>
          <w:rFonts w:ascii="Arial" w:eastAsia="Calibri" w:hAnsi="Arial" w:cs="Arial"/>
          <w:sz w:val="24"/>
          <w:szCs w:val="24"/>
        </w:rPr>
      </w:pPr>
      <w:r w:rsidRPr="001C446A">
        <w:rPr>
          <w:rFonts w:ascii="Arial" w:eastAsia="Calibri" w:hAnsi="Arial" w:cs="Arial"/>
          <w:sz w:val="24"/>
          <w:szCs w:val="24"/>
        </w:rPr>
        <w:t>V……………………</w:t>
      </w:r>
      <w:proofErr w:type="gramStart"/>
      <w:r w:rsidRPr="001C446A">
        <w:rPr>
          <w:rFonts w:ascii="Arial" w:eastAsia="Calibri" w:hAnsi="Arial" w:cs="Arial"/>
          <w:sz w:val="24"/>
          <w:szCs w:val="24"/>
        </w:rPr>
        <w:t>….dne</w:t>
      </w:r>
      <w:proofErr w:type="gramEnd"/>
      <w:r w:rsidRPr="001C446A">
        <w:rPr>
          <w:rFonts w:ascii="Arial" w:eastAsia="Calibri" w:hAnsi="Arial" w:cs="Arial"/>
          <w:sz w:val="24"/>
          <w:szCs w:val="24"/>
        </w:rPr>
        <w:t>………………                   podpis hodnotitele………………</w:t>
      </w:r>
    </w:p>
    <w:p w:rsidR="00F134F3" w:rsidRDefault="00F134F3"/>
    <w:sectPr w:rsidR="00F134F3" w:rsidSect="00F134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87" w:rsidRDefault="002C3187" w:rsidP="001C446A">
      <w:pPr>
        <w:spacing w:after="0" w:line="240" w:lineRule="auto"/>
      </w:pPr>
      <w:r>
        <w:separator/>
      </w:r>
    </w:p>
  </w:endnote>
  <w:endnote w:type="continuationSeparator" w:id="0">
    <w:p w:rsidR="002C3187" w:rsidRDefault="002C3187" w:rsidP="001C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59192"/>
      <w:docPartObj>
        <w:docPartGallery w:val="Page Numbers (Bottom of Page)"/>
        <w:docPartUnique/>
      </w:docPartObj>
    </w:sdtPr>
    <w:sdtEndPr/>
    <w:sdtContent>
      <w:p w:rsidR="002C3187" w:rsidRDefault="002C31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F87">
          <w:rPr>
            <w:noProof/>
          </w:rPr>
          <w:t>1</w:t>
        </w:r>
        <w:r>
          <w:fldChar w:fldCharType="end"/>
        </w:r>
      </w:p>
    </w:sdtContent>
  </w:sdt>
  <w:p w:rsidR="002C3187" w:rsidRDefault="002C31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87" w:rsidRDefault="002C3187" w:rsidP="001C446A">
      <w:pPr>
        <w:spacing w:after="0" w:line="240" w:lineRule="auto"/>
      </w:pPr>
      <w:r>
        <w:separator/>
      </w:r>
    </w:p>
  </w:footnote>
  <w:footnote w:type="continuationSeparator" w:id="0">
    <w:p w:rsidR="002C3187" w:rsidRDefault="002C3187" w:rsidP="001C446A">
      <w:pPr>
        <w:spacing w:after="0" w:line="240" w:lineRule="auto"/>
      </w:pPr>
      <w:r>
        <w:continuationSeparator/>
      </w:r>
    </w:p>
  </w:footnote>
  <w:footnote w:id="1">
    <w:p w:rsidR="002C3187" w:rsidRDefault="002C3187" w:rsidP="002C3187">
      <w:pPr>
        <w:pStyle w:val="Textpoznpodarou"/>
      </w:pPr>
      <w:r>
        <w:rPr>
          <w:rStyle w:val="Znakapoznpodarou"/>
        </w:rPr>
        <w:footnoteRef/>
      </w:r>
      <w:r>
        <w:t xml:space="preserve"> Hodnocení v bodech 3, 8 a 9 provádí pouze vybraní střelci z řad Vězeňské služby ČR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87" w:rsidRDefault="002C3187" w:rsidP="001C307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Zadávací dokumentace pro nadlimitní veřejnou zakázku</w:t>
    </w:r>
  </w:p>
  <w:p w:rsidR="002C3187" w:rsidRDefault="002C3187" w:rsidP="001C307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„GŘ OL - Dodávka samopalů“</w:t>
    </w:r>
  </w:p>
  <w:p w:rsidR="002C3187" w:rsidRDefault="002C3187" w:rsidP="001C3072">
    <w:pPr>
      <w:pStyle w:val="Zhlav"/>
      <w:jc w:val="center"/>
      <w:rPr>
        <w:rFonts w:ascii="Arial" w:hAnsi="Arial" w:cs="Arial"/>
        <w:i/>
        <w:sz w:val="20"/>
        <w:szCs w:val="20"/>
      </w:rPr>
    </w:pPr>
  </w:p>
  <w:p w:rsidR="002C3187" w:rsidRDefault="002C31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644D8"/>
    <w:multiLevelType w:val="hybridMultilevel"/>
    <w:tmpl w:val="99A6FE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355C0"/>
    <w:multiLevelType w:val="hybridMultilevel"/>
    <w:tmpl w:val="363E47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6A"/>
    <w:rsid w:val="000F4980"/>
    <w:rsid w:val="001C3072"/>
    <w:rsid w:val="001C446A"/>
    <w:rsid w:val="00296DC3"/>
    <w:rsid w:val="002C3187"/>
    <w:rsid w:val="003D1886"/>
    <w:rsid w:val="004F4F87"/>
    <w:rsid w:val="005676C7"/>
    <w:rsid w:val="005A6B3E"/>
    <w:rsid w:val="00762142"/>
    <w:rsid w:val="007C63BC"/>
    <w:rsid w:val="00944EBE"/>
    <w:rsid w:val="00972DBA"/>
    <w:rsid w:val="00B12114"/>
    <w:rsid w:val="00B144C8"/>
    <w:rsid w:val="00B14D7D"/>
    <w:rsid w:val="00BB6C10"/>
    <w:rsid w:val="00BD6D81"/>
    <w:rsid w:val="00C5130E"/>
    <w:rsid w:val="00D63AB4"/>
    <w:rsid w:val="00F134F3"/>
    <w:rsid w:val="00F7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C4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44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44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C446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D7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3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072"/>
  </w:style>
  <w:style w:type="paragraph" w:styleId="Zpat">
    <w:name w:val="footer"/>
    <w:basedOn w:val="Normln"/>
    <w:link w:val="ZpatChar"/>
    <w:uiPriority w:val="99"/>
    <w:unhideWhenUsed/>
    <w:rsid w:val="001C3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C4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44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44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C446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4D7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3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072"/>
  </w:style>
  <w:style w:type="paragraph" w:styleId="Zpat">
    <w:name w:val="footer"/>
    <w:basedOn w:val="Normln"/>
    <w:link w:val="ZpatChar"/>
    <w:uiPriority w:val="99"/>
    <w:unhideWhenUsed/>
    <w:rsid w:val="001C3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Ladislav Bc.</dc:creator>
  <cp:lastModifiedBy>Rábek Roman, Ing.</cp:lastModifiedBy>
  <cp:revision>19</cp:revision>
  <cp:lastPrinted>2016-10-18T11:34:00Z</cp:lastPrinted>
  <dcterms:created xsi:type="dcterms:W3CDTF">2016-10-18T11:06:00Z</dcterms:created>
  <dcterms:modified xsi:type="dcterms:W3CDTF">2017-03-27T05:21:00Z</dcterms:modified>
</cp:coreProperties>
</file>